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caps/>
                      <w:sz w:val="18"/>
                      <w:szCs w:val="18"/>
                    </w:rPr>
                  </w:r>
                  <w:r w:rsidR="00A60D4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caps/>
                      <w:sz w:val="18"/>
                      <w:szCs w:val="18"/>
                    </w:rPr>
                  </w:r>
                  <w:r w:rsidR="00A60D4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caps/>
                      <w:sz w:val="18"/>
                      <w:szCs w:val="18"/>
                    </w:rPr>
                  </w:r>
                  <w:r w:rsidR="00A60D4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caps/>
                      <w:sz w:val="18"/>
                      <w:szCs w:val="18"/>
                    </w:rPr>
                  </w:r>
                  <w:r w:rsidR="00A60D41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sz w:val="18"/>
                      <w:szCs w:val="18"/>
                    </w:rPr>
                  </w:r>
                  <w:r w:rsidR="00A60D41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sz w:val="18"/>
                      <w:szCs w:val="18"/>
                    </w:rPr>
                  </w:r>
                  <w:r w:rsidR="00A60D41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sz w:val="18"/>
                      <w:szCs w:val="18"/>
                    </w:rPr>
                  </w:r>
                  <w:r w:rsidR="00A60D41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sz w:val="18"/>
                      <w:szCs w:val="18"/>
                    </w:rPr>
                  </w:r>
                  <w:r w:rsidR="00A60D41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5D5F09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</w:r>
                  <w:r w:rsidR="00A60D41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60D41">
              <w:rPr>
                <w:b/>
                <w:caps/>
                <w:sz w:val="16"/>
                <w:szCs w:val="16"/>
              </w:rPr>
            </w:r>
            <w:r w:rsidR="00A60D41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60D41">
              <w:rPr>
                <w:b/>
                <w:caps/>
                <w:sz w:val="16"/>
                <w:szCs w:val="16"/>
              </w:rPr>
            </w:r>
            <w:r w:rsidR="00A60D41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60D41">
              <w:rPr>
                <w:b/>
                <w:caps/>
                <w:sz w:val="16"/>
                <w:szCs w:val="16"/>
              </w:rPr>
            </w:r>
            <w:r w:rsidR="00A60D41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60D41">
              <w:rPr>
                <w:b/>
                <w:caps/>
                <w:sz w:val="16"/>
                <w:szCs w:val="16"/>
              </w:rPr>
            </w:r>
            <w:r w:rsidR="00A60D41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ED0DF" w14:textId="77777777" w:rsidR="00A60D41" w:rsidRDefault="00A60D41">
      <w:r>
        <w:separator/>
      </w:r>
    </w:p>
  </w:endnote>
  <w:endnote w:type="continuationSeparator" w:id="0">
    <w:p w14:paraId="5F3BE87F" w14:textId="77777777" w:rsidR="00A60D41" w:rsidRDefault="00A6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3905AE9F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846ED0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846ED0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2A54300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846ED0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846ED0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6A767" w14:textId="77777777" w:rsidR="00A60D41" w:rsidRDefault="00A60D41">
      <w:r>
        <w:separator/>
      </w:r>
    </w:p>
  </w:footnote>
  <w:footnote w:type="continuationSeparator" w:id="0">
    <w:p w14:paraId="1C1443DE" w14:textId="77777777" w:rsidR="00A60D41" w:rsidRDefault="00A60D41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FD614D" w:rsidRDefault="00A60D41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A60D41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>, ал. 2 от ЗЗЛПСПОИН</w:t>
    </w:r>
  </w:p>
  <w:p w14:paraId="1AB25C26" w14:textId="79678304" w:rsidR="00FD614D" w:rsidRPr="00EB0366" w:rsidRDefault="00FD614D" w:rsidP="00E240A2">
    <w:pPr>
      <w:pStyle w:val="a4"/>
      <w:ind w:left="5664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="00EB0366">
      <w:rPr>
        <w:sz w:val="18"/>
        <w:szCs w:val="18"/>
        <w:lang w:val="en-US"/>
      </w:rPr>
      <w:t xml:space="preserve">    </w:t>
    </w:r>
    <w:r w:rsidRPr="002015E7">
      <w:rPr>
        <w:sz w:val="18"/>
        <w:szCs w:val="18"/>
      </w:rPr>
      <w:t xml:space="preserve">Утвърден с решение на КЗЛД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КЗЛД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a4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FD614D" w:rsidRDefault="00A60D41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46ED0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0D41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0FC5-C5A8-4C38-B4CB-650844DB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USER</cp:lastModifiedBy>
  <cp:revision>5</cp:revision>
  <cp:lastPrinted>2026-06-16T13:31:00Z</cp:lastPrinted>
  <dcterms:created xsi:type="dcterms:W3CDTF">2025-06-02T06:10:00Z</dcterms:created>
  <dcterms:modified xsi:type="dcterms:W3CDTF">2026-06-16T13:31:00Z</dcterms:modified>
</cp:coreProperties>
</file>